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7B4F" w14:textId="77777777" w:rsidR="002C6FCA" w:rsidRPr="007F300B" w:rsidRDefault="002C6FCA" w:rsidP="002C6FCA">
      <w:pPr>
        <w:pStyle w:val="head1"/>
        <w:rPr>
          <w:color w:val="000000" w:themeColor="text1"/>
        </w:rPr>
      </w:pPr>
      <w:r w:rsidRPr="007F300B">
        <w:rPr>
          <w:color w:val="000000" w:themeColor="text1"/>
        </w:rPr>
        <w:t>Payments to securities holders</w:t>
      </w:r>
    </w:p>
    <w:p w14:paraId="71C25E43" w14:textId="77777777" w:rsidR="002C6FCA" w:rsidRPr="007F300B" w:rsidRDefault="002C6FCA" w:rsidP="002C6FCA">
      <w:pPr>
        <w:pStyle w:val="a-000"/>
        <w:rPr>
          <w:color w:val="000000" w:themeColor="text1"/>
        </w:rPr>
      </w:pPr>
      <w:r w:rsidRPr="007F300B">
        <w:rPr>
          <w:color w:val="000000" w:themeColor="text1"/>
        </w:rPr>
        <w:t>5.85</w:t>
      </w:r>
      <w:r w:rsidRPr="007F300B">
        <w:rPr>
          <w:color w:val="000000" w:themeColor="text1"/>
        </w:rPr>
        <w:tab/>
        <w:t>(a)</w:t>
      </w:r>
      <w:r w:rsidRPr="007F300B">
        <w:rPr>
          <w:color w:val="000000" w:themeColor="text1"/>
        </w:rPr>
        <w:tab/>
        <w:t xml:space="preserve">Companies wishing to make payments to their securities holders must comply with all relevant provisions of the Act and specifically with Section 46 of the Act. </w:t>
      </w:r>
      <w:r w:rsidRPr="007F300B">
        <w:rPr>
          <w:rStyle w:val="FootnoteReference"/>
          <w:color w:val="000000" w:themeColor="text1"/>
        </w:rPr>
        <w:footnoteReference w:customMarkFollows="1" w:id="1"/>
        <w:t> </w:t>
      </w:r>
    </w:p>
    <w:p w14:paraId="48A72501" w14:textId="77777777" w:rsidR="002C6FCA" w:rsidRPr="007F300B" w:rsidRDefault="002C6FCA" w:rsidP="002C6FCA">
      <w:pPr>
        <w:pStyle w:val="a-000"/>
        <w:rPr>
          <w:color w:val="000000" w:themeColor="text1"/>
        </w:rPr>
      </w:pPr>
      <w:r w:rsidRPr="007F300B">
        <w:rPr>
          <w:color w:val="000000" w:themeColor="text1"/>
        </w:rPr>
        <w:tab/>
        <w:t>(b)</w:t>
      </w:r>
      <w:r w:rsidRPr="007F300B">
        <w:rPr>
          <w:color w:val="000000" w:themeColor="text1"/>
        </w:rPr>
        <w:tab/>
        <w:t>Subject to paragraph 5.85(c), a pro rata payment to all shareholders will not require shareholder approval. Any payment to shareholders which is not pro rata to all shareholders will be regarded as a specific payment and the company must obtain the approval of its securities holders in a general meeting, which approval is not required in respect of cash dividends, scrip dividends or capitalisation issues (“specific payment”).</w:t>
      </w:r>
    </w:p>
    <w:p w14:paraId="4F436A29" w14:textId="77777777" w:rsidR="002C6FCA" w:rsidRPr="007F300B" w:rsidRDefault="002C6FCA" w:rsidP="002C6FCA">
      <w:pPr>
        <w:pStyle w:val="a-000"/>
        <w:rPr>
          <w:color w:val="000000" w:themeColor="text1"/>
        </w:rPr>
      </w:pPr>
      <w:r w:rsidRPr="007F300B">
        <w:rPr>
          <w:color w:val="000000" w:themeColor="text1"/>
        </w:rPr>
        <w:tab/>
        <w:t>(c)</w:t>
      </w:r>
      <w:r w:rsidRPr="007F300B">
        <w:rPr>
          <w:color w:val="000000" w:themeColor="text1"/>
        </w:rPr>
        <w:tab/>
        <w:t>Where the underlying securities are unlisted when the company effects a distribution in specie by way of an unbundling (either by way of pro rata or specific payment) or where such securities become unlisted as a result of the unbundling, shareholder approval is required.</w:t>
      </w:r>
    </w:p>
    <w:p w14:paraId="684C75B8" w14:textId="77777777" w:rsidR="002C6FCA" w:rsidRPr="007F300B" w:rsidRDefault="002C6FCA" w:rsidP="002C6FCA">
      <w:pPr>
        <w:pStyle w:val="000"/>
        <w:rPr>
          <w:color w:val="000000" w:themeColor="text1"/>
        </w:rPr>
      </w:pPr>
      <w:r w:rsidRPr="007F300B">
        <w:rPr>
          <w:color w:val="000000" w:themeColor="text1"/>
          <w:lang w:val="en-US"/>
        </w:rPr>
        <w:t>5.86</w:t>
      </w:r>
      <w:r w:rsidRPr="007F300B">
        <w:rPr>
          <w:color w:val="000000" w:themeColor="text1"/>
          <w:lang w:val="en-US"/>
        </w:rPr>
        <w:tab/>
        <w:t>[Repealed]</w:t>
      </w:r>
      <w:r w:rsidRPr="007F300B">
        <w:rPr>
          <w:rStyle w:val="FootnoteReference"/>
          <w:color w:val="000000" w:themeColor="text1"/>
          <w:lang w:val="en-US"/>
        </w:rPr>
        <w:footnoteReference w:customMarkFollows="1" w:id="2"/>
        <w:t> </w:t>
      </w:r>
    </w:p>
    <w:p w14:paraId="584CF0FA" w14:textId="77777777" w:rsidR="002C6FCA" w:rsidRPr="007F300B" w:rsidRDefault="002C6FCA" w:rsidP="002C6FCA">
      <w:pPr>
        <w:pStyle w:val="head2"/>
        <w:rPr>
          <w:color w:val="000000" w:themeColor="text1"/>
        </w:rPr>
      </w:pPr>
      <w:r w:rsidRPr="007F300B">
        <w:rPr>
          <w:color w:val="000000" w:themeColor="text1"/>
        </w:rPr>
        <w:t>Requirements for specific payments</w:t>
      </w:r>
    </w:p>
    <w:p w14:paraId="1AC59E8F" w14:textId="77777777" w:rsidR="002C6FCA" w:rsidRPr="007F300B" w:rsidRDefault="002C6FCA" w:rsidP="002C6FCA">
      <w:pPr>
        <w:pStyle w:val="000"/>
        <w:rPr>
          <w:color w:val="000000" w:themeColor="text1"/>
        </w:rPr>
      </w:pPr>
      <w:r w:rsidRPr="007F300B">
        <w:rPr>
          <w:color w:val="000000" w:themeColor="text1"/>
        </w:rPr>
        <w:t>5.87</w:t>
      </w:r>
      <w:r w:rsidRPr="007F300B">
        <w:rPr>
          <w:color w:val="000000" w:themeColor="text1"/>
        </w:rPr>
        <w:tab/>
        <w:t>An applicant may only make a specific payment subject to authorisation being given in terms of an ordinary resolution approved by shareholders of the company in general meeting. Such ordinary resolution must be contained in a notice of general meeting that forms part of a circular sent to securities holders of the applicant.</w:t>
      </w:r>
    </w:p>
    <w:p w14:paraId="2A609178" w14:textId="77777777" w:rsidR="002C6FCA" w:rsidRPr="007F300B" w:rsidRDefault="002C6FCA" w:rsidP="002C6FCA">
      <w:pPr>
        <w:pStyle w:val="head2"/>
        <w:rPr>
          <w:color w:val="000000" w:themeColor="text1"/>
        </w:rPr>
      </w:pPr>
      <w:r w:rsidRPr="007F300B">
        <w:rPr>
          <w:color w:val="000000" w:themeColor="text1"/>
        </w:rPr>
        <w:t>Documents to be submitted to the JSE</w:t>
      </w:r>
    </w:p>
    <w:p w14:paraId="55B960F0" w14:textId="77777777" w:rsidR="002C6FCA" w:rsidRPr="007F300B" w:rsidRDefault="002C6FCA" w:rsidP="002C6FCA">
      <w:pPr>
        <w:pStyle w:val="000"/>
        <w:rPr>
          <w:color w:val="000000" w:themeColor="text1"/>
        </w:rPr>
      </w:pPr>
      <w:r w:rsidRPr="007F300B">
        <w:rPr>
          <w:color w:val="000000" w:themeColor="text1"/>
        </w:rPr>
        <w:t>5.88</w:t>
      </w:r>
      <w:r w:rsidRPr="007F300B">
        <w:rPr>
          <w:color w:val="000000" w:themeColor="text1"/>
        </w:rPr>
        <w:tab/>
        <w:t>The documents detailed in paragraph 16.33 must be submitted to the JSE in accordance with the relevant corporate action timetable.</w:t>
      </w:r>
      <w:r w:rsidRPr="007F300B">
        <w:rPr>
          <w:rStyle w:val="FootnoteReference"/>
          <w:color w:val="000000" w:themeColor="text1"/>
        </w:rPr>
        <w:footnoteReference w:customMarkFollows="1" w:id="3"/>
        <w:t> </w:t>
      </w:r>
    </w:p>
    <w:p w14:paraId="43C8C7CE" w14:textId="77777777" w:rsidR="002C6FCA" w:rsidRPr="007F300B" w:rsidRDefault="002C6FCA" w:rsidP="002C6FCA">
      <w:pPr>
        <w:pStyle w:val="head2"/>
        <w:rPr>
          <w:color w:val="000000" w:themeColor="text1"/>
        </w:rPr>
      </w:pPr>
      <w:r w:rsidRPr="007F300B">
        <w:rPr>
          <w:color w:val="000000" w:themeColor="text1"/>
        </w:rPr>
        <w:t>Documents to be published</w:t>
      </w:r>
    </w:p>
    <w:p w14:paraId="08A603E7" w14:textId="77777777" w:rsidR="002C6FCA" w:rsidRPr="007F300B" w:rsidRDefault="002C6FCA" w:rsidP="002C6FCA">
      <w:pPr>
        <w:pStyle w:val="000"/>
        <w:rPr>
          <w:color w:val="000000" w:themeColor="text1"/>
        </w:rPr>
      </w:pPr>
      <w:r w:rsidRPr="007F300B">
        <w:rPr>
          <w:color w:val="000000" w:themeColor="text1"/>
        </w:rPr>
        <w:t>5.89</w:t>
      </w:r>
      <w:r w:rsidRPr="007F300B">
        <w:rPr>
          <w:color w:val="000000" w:themeColor="text1"/>
        </w:rPr>
        <w:tab/>
        <w:t>The documents that require publication regarding specific payments are set out in paragraphs 11.28 and 11.29, and must be actioned in accordance with the relevant corporate action timetable.</w:t>
      </w:r>
      <w:r w:rsidRPr="007F300B">
        <w:rPr>
          <w:rStyle w:val="FootnoteReference"/>
          <w:color w:val="000000" w:themeColor="text1"/>
        </w:rPr>
        <w:footnoteReference w:customMarkFollows="1" w:id="4"/>
        <w:t> </w:t>
      </w:r>
    </w:p>
    <w:p w14:paraId="63F07521" w14:textId="77777777" w:rsidR="002C6FCA" w:rsidRPr="007F300B" w:rsidRDefault="002C6FCA" w:rsidP="002C6FCA">
      <w:pPr>
        <w:pStyle w:val="head2"/>
        <w:rPr>
          <w:color w:val="000000" w:themeColor="text1"/>
        </w:rPr>
      </w:pPr>
      <w:r w:rsidRPr="007F300B">
        <w:rPr>
          <w:color w:val="000000" w:themeColor="text1"/>
        </w:rPr>
        <w:t>Requirements for general payments</w:t>
      </w:r>
    </w:p>
    <w:p w14:paraId="1ACA6661" w14:textId="77777777" w:rsidR="002C6FCA" w:rsidRPr="007F300B" w:rsidRDefault="002C6FCA" w:rsidP="002C6FCA">
      <w:pPr>
        <w:pStyle w:val="000"/>
        <w:rPr>
          <w:color w:val="000000" w:themeColor="text1"/>
          <w:lang w:val="en-US"/>
        </w:rPr>
      </w:pPr>
      <w:r w:rsidRPr="007F300B">
        <w:rPr>
          <w:color w:val="000000" w:themeColor="text1"/>
          <w:lang w:val="en-US"/>
        </w:rPr>
        <w:t>5.90</w:t>
      </w:r>
      <w:r w:rsidRPr="007F300B">
        <w:rPr>
          <w:color w:val="000000" w:themeColor="text1"/>
          <w:lang w:val="en-US"/>
        </w:rPr>
        <w:tab/>
        <w:t>[Repealed]</w:t>
      </w:r>
      <w:r w:rsidRPr="007F300B">
        <w:rPr>
          <w:rStyle w:val="FootnoteReference"/>
          <w:color w:val="000000" w:themeColor="text1"/>
          <w:lang w:val="en-US"/>
        </w:rPr>
        <w:footnoteReference w:customMarkFollows="1" w:id="5"/>
        <w:t> </w:t>
      </w:r>
    </w:p>
    <w:p w14:paraId="61C66696" w14:textId="77777777" w:rsidR="002C6FCA" w:rsidRPr="007F300B" w:rsidRDefault="002C6FCA" w:rsidP="002C6FCA">
      <w:pPr>
        <w:pStyle w:val="head2"/>
        <w:rPr>
          <w:color w:val="000000" w:themeColor="text1"/>
        </w:rPr>
      </w:pPr>
      <w:r w:rsidRPr="007F300B">
        <w:rPr>
          <w:color w:val="000000" w:themeColor="text1"/>
        </w:rPr>
        <w:t>Documents to be submitted to the JSE</w:t>
      </w:r>
    </w:p>
    <w:p w14:paraId="135A700C" w14:textId="77777777" w:rsidR="002C6FCA" w:rsidRPr="007F300B" w:rsidRDefault="002C6FCA" w:rsidP="002C6FCA">
      <w:pPr>
        <w:pStyle w:val="000"/>
        <w:rPr>
          <w:color w:val="000000" w:themeColor="text1"/>
        </w:rPr>
      </w:pPr>
      <w:r w:rsidRPr="007F300B">
        <w:rPr>
          <w:color w:val="000000" w:themeColor="text1"/>
        </w:rPr>
        <w:t>5.91</w:t>
      </w:r>
      <w:r w:rsidRPr="007F300B">
        <w:rPr>
          <w:color w:val="000000" w:themeColor="text1"/>
        </w:rPr>
        <w:tab/>
      </w:r>
      <w:r w:rsidRPr="007F300B">
        <w:rPr>
          <w:color w:val="000000" w:themeColor="text1"/>
          <w:lang w:val="en-US"/>
        </w:rPr>
        <w:t>[Repealed]</w:t>
      </w:r>
      <w:r w:rsidRPr="007F300B">
        <w:rPr>
          <w:rStyle w:val="FootnoteReference"/>
          <w:color w:val="000000" w:themeColor="text1"/>
        </w:rPr>
        <w:footnoteReference w:customMarkFollows="1" w:id="6"/>
        <w:t> </w:t>
      </w:r>
    </w:p>
    <w:p w14:paraId="7711FBEE" w14:textId="77777777" w:rsidR="00DB0FDB" w:rsidRPr="007F300B" w:rsidRDefault="00DB0FDB">
      <w:pPr>
        <w:rPr>
          <w:color w:val="000000" w:themeColor="text1"/>
        </w:rPr>
      </w:pPr>
    </w:p>
    <w:p w14:paraId="1B40372D" w14:textId="77777777" w:rsidR="004C4ABD" w:rsidRPr="007F300B" w:rsidRDefault="004C4ABD" w:rsidP="004C4ABD">
      <w:pPr>
        <w:pStyle w:val="head1"/>
        <w:outlineLvl w:val="0"/>
        <w:rPr>
          <w:color w:val="000000" w:themeColor="text1"/>
        </w:rPr>
      </w:pPr>
      <w:r w:rsidRPr="007F300B">
        <w:rPr>
          <w:color w:val="000000" w:themeColor="text1"/>
        </w:rPr>
        <w:t>Payments to securities holders</w:t>
      </w:r>
    </w:p>
    <w:p w14:paraId="099187F3" w14:textId="77777777" w:rsidR="004C4ABD" w:rsidRPr="007F300B" w:rsidRDefault="004C4ABD" w:rsidP="004C4ABD">
      <w:pPr>
        <w:pStyle w:val="head2"/>
        <w:rPr>
          <w:color w:val="000000" w:themeColor="text1"/>
        </w:rPr>
      </w:pPr>
      <w:r w:rsidRPr="007F300B">
        <w:rPr>
          <w:color w:val="000000" w:themeColor="text1"/>
        </w:rPr>
        <w:t>Specific payments (as defined in Section 5)</w:t>
      </w:r>
    </w:p>
    <w:p w14:paraId="2F193D82" w14:textId="77777777" w:rsidR="004C4ABD" w:rsidRPr="007F300B" w:rsidRDefault="004C4ABD" w:rsidP="004C4ABD">
      <w:pPr>
        <w:pStyle w:val="0000"/>
        <w:rPr>
          <w:color w:val="000000" w:themeColor="text1"/>
          <w:lang w:val="en-US"/>
        </w:rPr>
      </w:pPr>
      <w:r w:rsidRPr="007F300B">
        <w:rPr>
          <w:color w:val="000000" w:themeColor="text1"/>
          <w:lang w:val="en-US"/>
        </w:rPr>
        <w:t>11.28</w:t>
      </w:r>
      <w:r w:rsidRPr="007F300B">
        <w:rPr>
          <w:color w:val="000000" w:themeColor="text1"/>
          <w:lang w:val="en-US"/>
        </w:rPr>
        <w:tab/>
        <w:t>The circular must be sent to shareholders within 60 days of publication of the announcement and must contain the following information:</w:t>
      </w:r>
      <w:r w:rsidRPr="007F300B">
        <w:rPr>
          <w:rStyle w:val="FootnoteReference"/>
          <w:color w:val="000000" w:themeColor="text1"/>
        </w:rPr>
        <w:footnoteReference w:customMarkFollows="1" w:id="7"/>
        <w:t> </w:t>
      </w:r>
    </w:p>
    <w:p w14:paraId="765981F5" w14:textId="77777777" w:rsidR="004C4ABD" w:rsidRPr="007F300B" w:rsidRDefault="004C4ABD" w:rsidP="004C4ABD">
      <w:pPr>
        <w:pStyle w:val="a-0000"/>
        <w:rPr>
          <w:color w:val="000000" w:themeColor="text1"/>
          <w:lang w:val="en-US"/>
        </w:rPr>
      </w:pPr>
      <w:r w:rsidRPr="007F300B">
        <w:rPr>
          <w:color w:val="000000" w:themeColor="text1"/>
          <w:lang w:val="en-US"/>
        </w:rPr>
        <w:lastRenderedPageBreak/>
        <w:tab/>
        <w:t>(a)</w:t>
      </w:r>
      <w:r w:rsidRPr="007F300B">
        <w:rPr>
          <w:color w:val="000000" w:themeColor="text1"/>
          <w:lang w:val="en-US"/>
        </w:rPr>
        <w:tab/>
        <w:t>contents of all circulars (refer to paragraph 11.1);</w:t>
      </w:r>
    </w:p>
    <w:p w14:paraId="62DB9D1F" w14:textId="77777777" w:rsidR="004C4ABD" w:rsidRPr="007F300B" w:rsidRDefault="004C4ABD" w:rsidP="004C4ABD">
      <w:pPr>
        <w:pStyle w:val="a-0000"/>
        <w:rPr>
          <w:color w:val="000000" w:themeColor="text1"/>
          <w:lang w:val="en-US"/>
        </w:rPr>
      </w:pPr>
      <w:r w:rsidRPr="007F300B">
        <w:rPr>
          <w:color w:val="000000" w:themeColor="text1"/>
          <w:lang w:val="en-US"/>
        </w:rPr>
        <w:tab/>
        <w:t>(b)</w:t>
      </w:r>
      <w:r w:rsidRPr="007F300B">
        <w:rPr>
          <w:color w:val="000000" w:themeColor="text1"/>
          <w:lang w:val="en-US"/>
        </w:rPr>
        <w:tab/>
        <w:t>general information including:</w:t>
      </w:r>
      <w:r w:rsidRPr="007F300B">
        <w:rPr>
          <w:rStyle w:val="FootnoteReference"/>
          <w:color w:val="000000" w:themeColor="text1"/>
        </w:rPr>
        <w:footnoteReference w:customMarkFollows="1" w:id="8"/>
        <w:t> </w:t>
      </w:r>
    </w:p>
    <w:p w14:paraId="1E2797B0" w14:textId="77777777" w:rsidR="004C4ABD" w:rsidRPr="007F300B" w:rsidRDefault="004C4ABD" w:rsidP="004C4ABD">
      <w:pPr>
        <w:pStyle w:val="i-0000a"/>
        <w:rPr>
          <w:color w:val="000000" w:themeColor="text1"/>
        </w:rPr>
      </w:pPr>
      <w:r w:rsidRPr="007F300B">
        <w:rPr>
          <w:color w:val="000000" w:themeColor="text1"/>
        </w:rPr>
        <w:tab/>
        <w:t>(i)</w:t>
      </w:r>
      <w:r w:rsidRPr="007F300B">
        <w:rPr>
          <w:color w:val="000000" w:themeColor="text1"/>
        </w:rPr>
        <w:tab/>
        <w:t>major shareholders (7.A.27);</w:t>
      </w:r>
    </w:p>
    <w:p w14:paraId="6FF30437" w14:textId="77777777" w:rsidR="004C4ABD" w:rsidRPr="007F300B" w:rsidRDefault="004C4ABD" w:rsidP="004C4ABD">
      <w:pPr>
        <w:pStyle w:val="i-0000a"/>
        <w:rPr>
          <w:color w:val="000000" w:themeColor="text1"/>
        </w:rPr>
      </w:pPr>
      <w:r w:rsidRPr="007F300B">
        <w:rPr>
          <w:color w:val="000000" w:themeColor="text1"/>
        </w:rPr>
        <w:tab/>
        <w:t>(ii)</w:t>
      </w:r>
      <w:r w:rsidRPr="007F300B">
        <w:rPr>
          <w:color w:val="000000" w:themeColor="text1"/>
        </w:rPr>
        <w:tab/>
        <w:t>material change (7.E.10);</w:t>
      </w:r>
    </w:p>
    <w:p w14:paraId="58F5A48B" w14:textId="77777777" w:rsidR="004C4ABD" w:rsidRPr="007F300B" w:rsidRDefault="004C4ABD" w:rsidP="004C4ABD">
      <w:pPr>
        <w:pStyle w:val="i-0000a"/>
        <w:rPr>
          <w:color w:val="000000" w:themeColor="text1"/>
        </w:rPr>
      </w:pPr>
      <w:r w:rsidRPr="007F300B">
        <w:rPr>
          <w:color w:val="000000" w:themeColor="text1"/>
        </w:rPr>
        <w:tab/>
        <w:t>(iii)</w:t>
      </w:r>
      <w:r w:rsidRPr="007F300B">
        <w:rPr>
          <w:color w:val="000000" w:themeColor="text1"/>
        </w:rPr>
        <w:tab/>
        <w:t>directors’ interests in securities (7.B.20);</w:t>
      </w:r>
    </w:p>
    <w:p w14:paraId="62B65E5B" w14:textId="77777777" w:rsidR="004C4ABD" w:rsidRPr="007F300B" w:rsidRDefault="004C4ABD" w:rsidP="004C4ABD">
      <w:pPr>
        <w:pStyle w:val="i-0000a"/>
        <w:rPr>
          <w:color w:val="000000" w:themeColor="text1"/>
        </w:rPr>
      </w:pPr>
      <w:r w:rsidRPr="007F300B">
        <w:rPr>
          <w:color w:val="000000" w:themeColor="text1"/>
        </w:rPr>
        <w:tab/>
        <w:t>(iv)</w:t>
      </w:r>
      <w:r w:rsidRPr="007F300B">
        <w:rPr>
          <w:color w:val="000000" w:themeColor="text1"/>
        </w:rPr>
        <w:tab/>
        <w:t>share capital of the company (7.A.4 or 7.A.5);</w:t>
      </w:r>
    </w:p>
    <w:p w14:paraId="094EBE8D" w14:textId="77777777" w:rsidR="004C4ABD" w:rsidRPr="007F300B" w:rsidRDefault="004C4ABD" w:rsidP="004C4ABD">
      <w:pPr>
        <w:pStyle w:val="i-0000a"/>
        <w:rPr>
          <w:color w:val="000000" w:themeColor="text1"/>
        </w:rPr>
      </w:pPr>
      <w:r w:rsidRPr="007F300B">
        <w:rPr>
          <w:color w:val="000000" w:themeColor="text1"/>
        </w:rPr>
        <w:tab/>
        <w:t>(v)</w:t>
      </w:r>
      <w:r w:rsidRPr="007F300B">
        <w:rPr>
          <w:color w:val="000000" w:themeColor="text1"/>
        </w:rPr>
        <w:tab/>
        <w:t>preliminary expenses and issue expenses (7.B.17); and</w:t>
      </w:r>
    </w:p>
    <w:p w14:paraId="2CF0D382" w14:textId="77777777" w:rsidR="004C4ABD" w:rsidRPr="007F300B" w:rsidRDefault="004C4ABD" w:rsidP="004C4ABD">
      <w:pPr>
        <w:pStyle w:val="i-0000a"/>
        <w:rPr>
          <w:color w:val="000000" w:themeColor="text1"/>
        </w:rPr>
      </w:pPr>
      <w:r w:rsidRPr="007F300B">
        <w:rPr>
          <w:color w:val="000000" w:themeColor="text1"/>
        </w:rPr>
        <w:tab/>
        <w:t>(vi)</w:t>
      </w:r>
      <w:r w:rsidRPr="007F300B">
        <w:rPr>
          <w:color w:val="000000" w:themeColor="text1"/>
        </w:rPr>
        <w:tab/>
        <w:t>responsibility (7.B.22 and 7.B.23);</w:t>
      </w:r>
    </w:p>
    <w:p w14:paraId="2DEEE31E" w14:textId="77777777" w:rsidR="004C4ABD" w:rsidRPr="007F300B" w:rsidRDefault="004C4ABD" w:rsidP="004C4ABD">
      <w:pPr>
        <w:pStyle w:val="a-0000"/>
        <w:rPr>
          <w:color w:val="000000" w:themeColor="text1"/>
          <w:lang w:val="en-US"/>
        </w:rPr>
      </w:pPr>
      <w:r w:rsidRPr="007F300B">
        <w:rPr>
          <w:color w:val="000000" w:themeColor="text1"/>
          <w:lang w:val="en-US"/>
        </w:rPr>
        <w:tab/>
      </w:r>
      <w:r w:rsidRPr="007F300B">
        <w:rPr>
          <w:color w:val="000000" w:themeColor="text1"/>
        </w:rPr>
        <w:t>(c)</w:t>
      </w:r>
      <w:r w:rsidRPr="007F300B">
        <w:rPr>
          <w:color w:val="000000" w:themeColor="text1"/>
        </w:rPr>
        <w:tab/>
        <w:t>source of payment (ie capital or income payment), the reason for and method by which the company intends to make the payment;</w:t>
      </w:r>
      <w:r w:rsidRPr="007F300B">
        <w:rPr>
          <w:rStyle w:val="FootnoteReference"/>
          <w:color w:val="000000" w:themeColor="text1"/>
        </w:rPr>
        <w:footnoteReference w:customMarkFollows="1" w:id="9"/>
        <w:t> </w:t>
      </w:r>
    </w:p>
    <w:p w14:paraId="408BB4EA" w14:textId="77777777" w:rsidR="004C4ABD" w:rsidRPr="007F300B" w:rsidRDefault="004C4ABD" w:rsidP="004C4ABD">
      <w:pPr>
        <w:pStyle w:val="a-0000"/>
        <w:rPr>
          <w:color w:val="000000" w:themeColor="text1"/>
          <w:lang w:val="en-US"/>
        </w:rPr>
      </w:pPr>
      <w:r w:rsidRPr="007F300B">
        <w:rPr>
          <w:color w:val="000000" w:themeColor="text1"/>
          <w:lang w:val="en-US"/>
        </w:rPr>
        <w:tab/>
        <w:t>(d)</w:t>
      </w:r>
      <w:r w:rsidRPr="007F300B">
        <w:rPr>
          <w:color w:val="000000" w:themeColor="text1"/>
          <w:lang w:val="en-US"/>
        </w:rPr>
        <w:tab/>
      </w:r>
      <w:r w:rsidRPr="007F300B">
        <w:rPr>
          <w:color w:val="000000" w:themeColor="text1"/>
        </w:rPr>
        <w:t>an explanation, including supporting information (if any), of the impact of the repurchase on the financial information</w:t>
      </w:r>
      <w:r w:rsidRPr="007F300B">
        <w:rPr>
          <w:color w:val="000000" w:themeColor="text1"/>
          <w:lang w:val="en-US"/>
        </w:rPr>
        <w:t>;</w:t>
      </w:r>
      <w:r w:rsidRPr="007F300B">
        <w:rPr>
          <w:rStyle w:val="FootnoteReference"/>
          <w:color w:val="000000" w:themeColor="text1"/>
          <w:lang w:val="en-US"/>
        </w:rPr>
        <w:footnoteReference w:customMarkFollows="1" w:id="10"/>
        <w:t> </w:t>
      </w:r>
    </w:p>
    <w:p w14:paraId="4AA845A1" w14:textId="77777777" w:rsidR="004C4ABD" w:rsidRPr="007F300B" w:rsidRDefault="004C4ABD" w:rsidP="004C4ABD">
      <w:pPr>
        <w:pStyle w:val="a-0000"/>
        <w:rPr>
          <w:color w:val="000000" w:themeColor="text1"/>
          <w:lang w:val="en-US"/>
        </w:rPr>
      </w:pPr>
      <w:r w:rsidRPr="007F300B">
        <w:rPr>
          <w:color w:val="000000" w:themeColor="text1"/>
          <w:lang w:val="en-US"/>
        </w:rPr>
        <w:tab/>
        <w:t>(e)</w:t>
      </w:r>
      <w:r w:rsidRPr="007F300B">
        <w:rPr>
          <w:color w:val="000000" w:themeColor="text1"/>
          <w:lang w:val="en-US"/>
        </w:rPr>
        <w:tab/>
        <w:t>a statement by the directors that after considering the effect of such payment the:</w:t>
      </w:r>
    </w:p>
    <w:p w14:paraId="34841C69" w14:textId="77777777" w:rsidR="004C4ABD" w:rsidRPr="007F300B" w:rsidRDefault="004C4ABD" w:rsidP="004C4ABD">
      <w:pPr>
        <w:pStyle w:val="i-0000a"/>
        <w:rPr>
          <w:color w:val="000000" w:themeColor="text1"/>
        </w:rPr>
      </w:pPr>
      <w:r w:rsidRPr="007F300B">
        <w:rPr>
          <w:color w:val="000000" w:themeColor="text1"/>
        </w:rPr>
        <w:tab/>
        <w:t>(i)</w:t>
      </w:r>
      <w:r w:rsidRPr="007F300B">
        <w:rPr>
          <w:color w:val="000000" w:themeColor="text1"/>
        </w:rPr>
        <w:tab/>
        <w:t>company and the group will be able in the ordinary course of business to pay its debts for a period of 12 months after the date of the approval of the circular;</w:t>
      </w:r>
    </w:p>
    <w:p w14:paraId="4B42C9B3" w14:textId="77777777" w:rsidR="004C4ABD" w:rsidRPr="007F300B" w:rsidRDefault="004C4ABD" w:rsidP="004C4ABD">
      <w:pPr>
        <w:pStyle w:val="i-0000a"/>
        <w:rPr>
          <w:color w:val="000000" w:themeColor="text1"/>
          <w:lang w:val="en-US"/>
        </w:rPr>
      </w:pPr>
      <w:r w:rsidRPr="007F300B">
        <w:rPr>
          <w:color w:val="000000" w:themeColor="text1"/>
          <w:lang w:val="en-US"/>
        </w:rPr>
        <w:tab/>
        <w:t>(ii)</w:t>
      </w:r>
      <w:r w:rsidRPr="007F300B">
        <w:rPr>
          <w:color w:val="000000" w:themeColor="text1"/>
          <w:lang w:val="en-US"/>
        </w:rPr>
        <w:tab/>
        <w:t>assets of the company and the group will be in excess of the liabilities of the company and the group for a period of 12 months after the date of the approval of the circular. For this purpose, the assets and liabilities should be recognised and measured in accordance with the accounting policies used in the latest audited annual group financial statements;</w:t>
      </w:r>
    </w:p>
    <w:p w14:paraId="5C40C4E6" w14:textId="77777777" w:rsidR="004C4ABD" w:rsidRPr="007F300B" w:rsidRDefault="004C4ABD" w:rsidP="004C4ABD">
      <w:pPr>
        <w:pStyle w:val="i-0000a"/>
        <w:rPr>
          <w:color w:val="000000" w:themeColor="text1"/>
          <w:lang w:val="en-US"/>
        </w:rPr>
      </w:pPr>
      <w:r w:rsidRPr="007F300B">
        <w:rPr>
          <w:color w:val="000000" w:themeColor="text1"/>
          <w:lang w:val="en-US"/>
        </w:rPr>
        <w:tab/>
        <w:t>(iii)</w:t>
      </w:r>
      <w:r w:rsidRPr="007F300B">
        <w:rPr>
          <w:color w:val="000000" w:themeColor="text1"/>
          <w:lang w:val="en-US"/>
        </w:rPr>
        <w:tab/>
        <w:t xml:space="preserve">share capital and reserves of the company and the group will be adequate for ordinary business purposes for a period of 12 months after the date of the approval of the circular (refer to paragraph 7.E.7); </w:t>
      </w:r>
    </w:p>
    <w:p w14:paraId="3BCE8279" w14:textId="77777777" w:rsidR="004C4ABD" w:rsidRPr="007F300B" w:rsidRDefault="004C4ABD" w:rsidP="004C4ABD">
      <w:pPr>
        <w:pStyle w:val="i-0000a"/>
        <w:rPr>
          <w:color w:val="000000" w:themeColor="text1"/>
          <w:lang w:val="en-US"/>
        </w:rPr>
      </w:pPr>
      <w:r w:rsidRPr="007F300B">
        <w:rPr>
          <w:color w:val="000000" w:themeColor="text1"/>
          <w:lang w:val="en-US"/>
        </w:rPr>
        <w:tab/>
        <w:t>(iv)</w:t>
      </w:r>
      <w:r w:rsidRPr="007F300B">
        <w:rPr>
          <w:color w:val="000000" w:themeColor="text1"/>
          <w:lang w:val="en-US"/>
        </w:rPr>
        <w:tab/>
        <w:t>working capital of the company and the group will be adequate for ordinary business purposes for a period of 12 months after the date of the approval of the circular (refer to paragraph 7.E.7); and</w:t>
      </w:r>
    </w:p>
    <w:p w14:paraId="7C702A67" w14:textId="77777777" w:rsidR="004C4ABD" w:rsidRPr="007F300B" w:rsidRDefault="004C4ABD" w:rsidP="004C4ABD">
      <w:pPr>
        <w:pStyle w:val="i-0000a"/>
        <w:rPr>
          <w:color w:val="000000" w:themeColor="text1"/>
          <w:lang w:val="en-US"/>
        </w:rPr>
      </w:pPr>
      <w:r w:rsidRPr="007F300B">
        <w:rPr>
          <w:color w:val="000000" w:themeColor="text1"/>
          <w:lang w:val="en-US"/>
        </w:rPr>
        <w:tab/>
        <w:t>(v)</w:t>
      </w:r>
      <w:r w:rsidRPr="007F300B">
        <w:rPr>
          <w:color w:val="000000" w:themeColor="text1"/>
          <w:lang w:val="en-US"/>
        </w:rPr>
        <w:tab/>
        <w:t>that the board of directors has authorised the payment, that the company and its subsidiary/ies have passed the solvency and liquidity test and that, since the test was performed, there have been no material changes to the financial position of the group;</w:t>
      </w:r>
      <w:r w:rsidRPr="007F300B">
        <w:rPr>
          <w:rStyle w:val="FootnoteReference"/>
          <w:color w:val="000000" w:themeColor="text1"/>
          <w:lang w:val="en-US"/>
        </w:rPr>
        <w:footnoteReference w:customMarkFollows="1" w:id="11"/>
        <w:t> </w:t>
      </w:r>
    </w:p>
    <w:p w14:paraId="7617B870" w14:textId="77777777" w:rsidR="004C4ABD" w:rsidRPr="007F300B" w:rsidRDefault="004C4ABD" w:rsidP="004C4ABD">
      <w:pPr>
        <w:pStyle w:val="a-0000"/>
        <w:rPr>
          <w:color w:val="000000" w:themeColor="text1"/>
          <w:lang w:val="en-US"/>
        </w:rPr>
      </w:pPr>
      <w:r w:rsidRPr="007F300B">
        <w:rPr>
          <w:color w:val="000000" w:themeColor="text1"/>
          <w:lang w:val="en-US"/>
        </w:rPr>
        <w:tab/>
        <w:t>(f)</w:t>
      </w:r>
      <w:r w:rsidRPr="007F300B">
        <w:rPr>
          <w:color w:val="000000" w:themeColor="text1"/>
          <w:lang w:val="en-US"/>
        </w:rPr>
        <w:tab/>
        <w:t>the detailed terms of the payment; and</w:t>
      </w:r>
    </w:p>
    <w:p w14:paraId="070B86D2" w14:textId="77777777" w:rsidR="004C4ABD" w:rsidRPr="007F300B" w:rsidRDefault="004C4ABD" w:rsidP="004C4ABD">
      <w:pPr>
        <w:pStyle w:val="a-0000"/>
        <w:rPr>
          <w:color w:val="000000" w:themeColor="text1"/>
        </w:rPr>
      </w:pPr>
      <w:r w:rsidRPr="007F300B">
        <w:rPr>
          <w:color w:val="000000" w:themeColor="text1"/>
        </w:rPr>
        <w:tab/>
        <w:t>(g)</w:t>
      </w:r>
      <w:r w:rsidRPr="007F300B">
        <w:rPr>
          <w:color w:val="000000" w:themeColor="text1"/>
        </w:rPr>
        <w:tab/>
        <w:t>the circular should include a statement giving the directors‘ opinions on the payment, a recommendation as to how securities holders should vote and an indication as to how the directors intend to vote their shares.</w:t>
      </w:r>
    </w:p>
    <w:p w14:paraId="603FC994" w14:textId="77777777" w:rsidR="004C4ABD" w:rsidRPr="007F300B" w:rsidRDefault="004C4ABD" w:rsidP="004C4ABD">
      <w:pPr>
        <w:pStyle w:val="0000"/>
        <w:rPr>
          <w:color w:val="000000" w:themeColor="text1"/>
          <w:lang w:val="en-US"/>
        </w:rPr>
      </w:pPr>
      <w:r w:rsidRPr="007F300B">
        <w:rPr>
          <w:color w:val="000000" w:themeColor="text1"/>
          <w:lang w:val="en-US"/>
        </w:rPr>
        <w:t>11.29</w:t>
      </w:r>
      <w:r w:rsidRPr="007F300B">
        <w:rPr>
          <w:color w:val="000000" w:themeColor="text1"/>
          <w:lang w:val="en-US"/>
        </w:rPr>
        <w:tab/>
        <w:t xml:space="preserve">In the case of a specific payment, an announcement must be published in accordance with </w:t>
      </w:r>
      <w:r w:rsidRPr="007F300B">
        <w:rPr>
          <w:color w:val="000000" w:themeColor="text1"/>
        </w:rPr>
        <w:t>the relevant corporate action timetable</w:t>
      </w:r>
      <w:r w:rsidRPr="007F300B">
        <w:rPr>
          <w:color w:val="000000" w:themeColor="text1"/>
          <w:lang w:val="en-US"/>
        </w:rPr>
        <w:t xml:space="preserve"> and, in addition, it must contain the following information:</w:t>
      </w:r>
      <w:r w:rsidRPr="007F300B">
        <w:rPr>
          <w:rStyle w:val="FootnoteReference"/>
          <w:color w:val="000000" w:themeColor="text1"/>
          <w:lang w:val="en-US"/>
        </w:rPr>
        <w:footnoteReference w:customMarkFollows="1" w:id="12"/>
        <w:t> </w:t>
      </w:r>
    </w:p>
    <w:p w14:paraId="0A2521D0" w14:textId="77777777" w:rsidR="004C4ABD" w:rsidRPr="007F300B" w:rsidRDefault="004C4ABD" w:rsidP="004C4ABD">
      <w:pPr>
        <w:pStyle w:val="a-0000"/>
        <w:rPr>
          <w:color w:val="000000" w:themeColor="text1"/>
        </w:rPr>
      </w:pPr>
      <w:r w:rsidRPr="007F300B">
        <w:rPr>
          <w:color w:val="000000" w:themeColor="text1"/>
        </w:rPr>
        <w:tab/>
        <w:t>(a)</w:t>
      </w:r>
      <w:r w:rsidRPr="007F300B">
        <w:rPr>
          <w:color w:val="000000" w:themeColor="text1"/>
        </w:rPr>
        <w:tab/>
        <w:t>the terms of the payment;</w:t>
      </w:r>
    </w:p>
    <w:p w14:paraId="4D8EE361" w14:textId="77777777" w:rsidR="004C4ABD" w:rsidRPr="007F300B" w:rsidRDefault="004C4ABD" w:rsidP="004C4ABD">
      <w:pPr>
        <w:pStyle w:val="a-0000"/>
        <w:rPr>
          <w:color w:val="000000" w:themeColor="text1"/>
        </w:rPr>
      </w:pPr>
      <w:r w:rsidRPr="007F300B">
        <w:rPr>
          <w:color w:val="000000" w:themeColor="text1"/>
        </w:rPr>
        <w:tab/>
        <w:t>(b)</w:t>
      </w:r>
      <w:r w:rsidRPr="007F300B">
        <w:rPr>
          <w:color w:val="000000" w:themeColor="text1"/>
        </w:rPr>
        <w:tab/>
        <w:t>the date of the general meeting at which the specific authority will be sought;</w:t>
      </w:r>
    </w:p>
    <w:p w14:paraId="7DB5F0A1" w14:textId="77777777" w:rsidR="004C4ABD" w:rsidRPr="007F300B" w:rsidRDefault="004C4ABD" w:rsidP="004C4ABD">
      <w:pPr>
        <w:pStyle w:val="a-0000"/>
        <w:rPr>
          <w:color w:val="000000" w:themeColor="text1"/>
        </w:rPr>
      </w:pPr>
      <w:r w:rsidRPr="007F300B">
        <w:rPr>
          <w:color w:val="000000" w:themeColor="text1"/>
        </w:rPr>
        <w:tab/>
        <w:t>(c)</w:t>
      </w:r>
      <w:r w:rsidRPr="007F300B">
        <w:rPr>
          <w:color w:val="000000" w:themeColor="text1"/>
        </w:rPr>
        <w:tab/>
        <w:t>the date on which the payment is to be made;</w:t>
      </w:r>
    </w:p>
    <w:p w14:paraId="47DD3C03" w14:textId="77777777" w:rsidR="004C4ABD" w:rsidRPr="007F300B" w:rsidRDefault="004C4ABD" w:rsidP="004C4ABD">
      <w:pPr>
        <w:pStyle w:val="a-0000"/>
        <w:rPr>
          <w:color w:val="000000" w:themeColor="text1"/>
        </w:rPr>
      </w:pPr>
      <w:r w:rsidRPr="007F300B">
        <w:rPr>
          <w:color w:val="000000" w:themeColor="text1"/>
        </w:rPr>
        <w:lastRenderedPageBreak/>
        <w:tab/>
        <w:t>(d)</w:t>
      </w:r>
      <w:r w:rsidRPr="007F300B">
        <w:rPr>
          <w:color w:val="000000" w:themeColor="text1"/>
        </w:rPr>
        <w:tab/>
        <w:t>an explanation, including supporting information (if any), of the impact of the repurchase on the financial information; and</w:t>
      </w:r>
      <w:r w:rsidRPr="007F300B">
        <w:rPr>
          <w:rStyle w:val="FootnoteReference"/>
          <w:color w:val="000000" w:themeColor="text1"/>
        </w:rPr>
        <w:footnoteReference w:customMarkFollows="1" w:id="13"/>
        <w:t> </w:t>
      </w:r>
    </w:p>
    <w:p w14:paraId="0D540BBF" w14:textId="77777777" w:rsidR="004C4ABD" w:rsidRPr="007F300B" w:rsidRDefault="004C4ABD" w:rsidP="004C4ABD">
      <w:pPr>
        <w:pStyle w:val="a-0000"/>
        <w:rPr>
          <w:color w:val="000000" w:themeColor="text1"/>
        </w:rPr>
      </w:pPr>
      <w:r w:rsidRPr="007F300B">
        <w:rPr>
          <w:color w:val="000000" w:themeColor="text1"/>
        </w:rPr>
        <w:tab/>
        <w:t>(e)</w:t>
      </w:r>
      <w:r w:rsidRPr="007F300B">
        <w:rPr>
          <w:color w:val="000000" w:themeColor="text1"/>
        </w:rPr>
        <w:tab/>
        <w:t>that a circular containing details of the above will be sent to securities holders.</w:t>
      </w:r>
      <w:r w:rsidRPr="007F300B">
        <w:rPr>
          <w:rStyle w:val="FootnoteReference"/>
          <w:color w:val="000000" w:themeColor="text1"/>
        </w:rPr>
        <w:footnoteReference w:customMarkFollows="1" w:id="14"/>
        <w:t> </w:t>
      </w:r>
    </w:p>
    <w:p w14:paraId="6C534AE4" w14:textId="77777777" w:rsidR="004C4ABD" w:rsidRPr="007F300B" w:rsidRDefault="004C4ABD" w:rsidP="004C4ABD">
      <w:pPr>
        <w:pStyle w:val="head2"/>
        <w:rPr>
          <w:color w:val="000000" w:themeColor="text1"/>
        </w:rPr>
      </w:pPr>
      <w:r w:rsidRPr="007F300B">
        <w:rPr>
          <w:color w:val="000000" w:themeColor="text1"/>
        </w:rPr>
        <w:t>General payments (as defined in paragraph 5.85(b))</w:t>
      </w:r>
    </w:p>
    <w:p w14:paraId="526D08FC" w14:textId="77777777" w:rsidR="004C4ABD" w:rsidRPr="007F300B" w:rsidRDefault="004C4ABD" w:rsidP="004C4ABD">
      <w:pPr>
        <w:pStyle w:val="0000"/>
        <w:rPr>
          <w:color w:val="000000" w:themeColor="text1"/>
        </w:rPr>
      </w:pPr>
      <w:r w:rsidRPr="007F300B">
        <w:rPr>
          <w:color w:val="000000" w:themeColor="text1"/>
          <w:lang w:val="en-US"/>
        </w:rPr>
        <w:t>11.30</w:t>
      </w:r>
      <w:r w:rsidRPr="007F300B">
        <w:rPr>
          <w:color w:val="000000" w:themeColor="text1"/>
          <w:lang w:val="en-US"/>
        </w:rPr>
        <w:tab/>
        <w:t>[Repealed]</w:t>
      </w:r>
    </w:p>
    <w:p w14:paraId="3BFE84A3" w14:textId="77777777" w:rsidR="004C4ABD" w:rsidRPr="007F300B" w:rsidRDefault="004C4ABD" w:rsidP="004C4ABD">
      <w:pPr>
        <w:pStyle w:val="0000"/>
        <w:rPr>
          <w:color w:val="000000" w:themeColor="text1"/>
        </w:rPr>
      </w:pPr>
      <w:r w:rsidRPr="007F300B">
        <w:rPr>
          <w:color w:val="000000" w:themeColor="text1"/>
        </w:rPr>
        <w:t>11.31</w:t>
      </w:r>
      <w:r w:rsidRPr="007F300B">
        <w:rPr>
          <w:color w:val="000000" w:themeColor="text1"/>
        </w:rPr>
        <w:tab/>
        <w:t>[Repealed]</w:t>
      </w:r>
      <w:r w:rsidRPr="007F300B">
        <w:rPr>
          <w:rStyle w:val="FootnoteReference"/>
          <w:color w:val="000000" w:themeColor="text1"/>
        </w:rPr>
        <w:footnoteReference w:customMarkFollows="1" w:id="15"/>
        <w:t> </w:t>
      </w:r>
    </w:p>
    <w:p w14:paraId="5199FB08" w14:textId="77777777" w:rsidR="004C4ABD" w:rsidRPr="007F300B" w:rsidRDefault="004C4ABD">
      <w:pPr>
        <w:rPr>
          <w:color w:val="000000" w:themeColor="text1"/>
        </w:rPr>
      </w:pPr>
    </w:p>
    <w:p w14:paraId="6A9AD47F" w14:textId="77777777" w:rsidR="00DF2F37" w:rsidRPr="007F300B" w:rsidRDefault="00DF2F37" w:rsidP="00DF2F37">
      <w:pPr>
        <w:pStyle w:val="head1"/>
        <w:rPr>
          <w:color w:val="000000" w:themeColor="text1"/>
        </w:rPr>
      </w:pPr>
      <w:r w:rsidRPr="007F300B">
        <w:rPr>
          <w:color w:val="000000" w:themeColor="text1"/>
        </w:rPr>
        <w:t>Payments to securities holders</w:t>
      </w:r>
    </w:p>
    <w:p w14:paraId="50D6F27D" w14:textId="77777777" w:rsidR="00DF2F37" w:rsidRPr="007F300B" w:rsidRDefault="00DF2F37" w:rsidP="00DF2F37">
      <w:pPr>
        <w:pStyle w:val="0000"/>
        <w:rPr>
          <w:color w:val="000000" w:themeColor="text1"/>
        </w:rPr>
      </w:pPr>
      <w:r w:rsidRPr="007F300B">
        <w:rPr>
          <w:color w:val="000000" w:themeColor="text1"/>
        </w:rPr>
        <w:t>16.34</w:t>
      </w:r>
      <w:r w:rsidRPr="007F300B">
        <w:rPr>
          <w:color w:val="000000" w:themeColor="text1"/>
        </w:rPr>
        <w:tab/>
        <w:t>The following information is required to be submitted to and approved by the JSE before approval (where applicable) will be granted for a payment to securities holders, as contemplated in paragraphs 5.85 to 5.92:</w:t>
      </w:r>
      <w:r w:rsidRPr="007F300B">
        <w:rPr>
          <w:rStyle w:val="FootnoteReference"/>
          <w:color w:val="000000" w:themeColor="text1"/>
        </w:rPr>
        <w:footnoteReference w:customMarkFollows="1" w:id="16"/>
        <w:t> </w:t>
      </w:r>
    </w:p>
    <w:p w14:paraId="612183E5" w14:textId="77777777" w:rsidR="00DF2F37" w:rsidRPr="007F300B" w:rsidRDefault="00DF2F37" w:rsidP="00DF2F37">
      <w:pPr>
        <w:pStyle w:val="a-0000"/>
        <w:rPr>
          <w:color w:val="000000" w:themeColor="text1"/>
        </w:rPr>
      </w:pPr>
      <w:r w:rsidRPr="007F300B">
        <w:rPr>
          <w:color w:val="000000" w:themeColor="text1"/>
        </w:rPr>
        <w:tab/>
        <w:t>(a)</w:t>
      </w:r>
      <w:r w:rsidRPr="007F300B">
        <w:rPr>
          <w:color w:val="000000" w:themeColor="text1"/>
        </w:rPr>
        <w:tab/>
        <w:t>the circular;</w:t>
      </w:r>
    </w:p>
    <w:p w14:paraId="5DCDC3E7" w14:textId="77777777" w:rsidR="00DF2F37" w:rsidRPr="007F300B" w:rsidRDefault="00DF2F37" w:rsidP="00DF2F37">
      <w:pPr>
        <w:pStyle w:val="a-0000"/>
        <w:rPr>
          <w:color w:val="000000" w:themeColor="text1"/>
        </w:rPr>
      </w:pPr>
      <w:r w:rsidRPr="007F300B">
        <w:rPr>
          <w:color w:val="000000" w:themeColor="text1"/>
        </w:rPr>
        <w:tab/>
        <w:t>(b)</w:t>
      </w:r>
      <w:r w:rsidRPr="007F300B">
        <w:rPr>
          <w:color w:val="000000" w:themeColor="text1"/>
        </w:rPr>
        <w:tab/>
        <w:t>any application for listing, complying with Schedule 2 Form A2, if applicable;</w:t>
      </w:r>
    </w:p>
    <w:p w14:paraId="39E15B58" w14:textId="77777777" w:rsidR="00DF2F37" w:rsidRPr="007F300B" w:rsidRDefault="00DF2F37" w:rsidP="00DF2F37">
      <w:pPr>
        <w:pStyle w:val="a-0000"/>
        <w:rPr>
          <w:color w:val="000000" w:themeColor="text1"/>
        </w:rPr>
      </w:pPr>
      <w:r w:rsidRPr="007F300B">
        <w:rPr>
          <w:color w:val="000000" w:themeColor="text1"/>
        </w:rPr>
        <w:tab/>
        <w:t>(c)</w:t>
      </w:r>
      <w:r w:rsidRPr="007F300B">
        <w:rPr>
          <w:color w:val="000000" w:themeColor="text1"/>
        </w:rPr>
        <w:tab/>
        <w:t>copies of any exchange control (refer to paragraph 16.26) approvals required;</w:t>
      </w:r>
    </w:p>
    <w:p w14:paraId="157A246D" w14:textId="77777777" w:rsidR="00DF2F37" w:rsidRPr="007F300B" w:rsidRDefault="00DF2F37" w:rsidP="00DF2F37">
      <w:pPr>
        <w:pStyle w:val="a-0000"/>
        <w:rPr>
          <w:color w:val="000000" w:themeColor="text1"/>
        </w:rPr>
      </w:pPr>
      <w:r w:rsidRPr="007F300B">
        <w:rPr>
          <w:color w:val="000000" w:themeColor="text1"/>
        </w:rPr>
        <w:tab/>
        <w:t>(d)</w:t>
      </w:r>
      <w:r w:rsidRPr="007F300B">
        <w:rPr>
          <w:color w:val="000000" w:themeColor="text1"/>
        </w:rPr>
        <w:tab/>
        <w:t>certified copies of any experts’ consents (refer to paragraph 7.F.10) appearing in the circular;</w:t>
      </w:r>
      <w:r w:rsidRPr="007F300B">
        <w:rPr>
          <w:rStyle w:val="FootnoteReference"/>
          <w:color w:val="000000" w:themeColor="text1"/>
        </w:rPr>
        <w:footnoteReference w:customMarkFollows="1" w:id="17"/>
        <w:t> </w:t>
      </w:r>
    </w:p>
    <w:p w14:paraId="09D41AD4" w14:textId="77777777" w:rsidR="00DF2F37" w:rsidRPr="007F300B" w:rsidRDefault="00DF2F37" w:rsidP="00DF2F37">
      <w:pPr>
        <w:pStyle w:val="a-0000"/>
        <w:rPr>
          <w:color w:val="000000" w:themeColor="text1"/>
        </w:rPr>
      </w:pPr>
      <w:r w:rsidRPr="007F300B">
        <w:rPr>
          <w:color w:val="000000" w:themeColor="text1"/>
        </w:rPr>
        <w:tab/>
        <w:t>(e)</w:t>
      </w:r>
      <w:r w:rsidRPr="007F300B">
        <w:rPr>
          <w:color w:val="000000" w:themeColor="text1"/>
        </w:rPr>
        <w:tab/>
        <w:t>the board of directors’ resolution approving the specific payment and confirming that the company and its subsidiary/ies have passed the solvency and liquidity test and that, since the test was performed, there have been no material changes to the financial position of the group; and</w:t>
      </w:r>
      <w:r w:rsidRPr="007F300B">
        <w:rPr>
          <w:rStyle w:val="FootnoteReference"/>
          <w:color w:val="000000" w:themeColor="text1"/>
        </w:rPr>
        <w:footnoteReference w:customMarkFollows="1" w:id="18"/>
        <w:t> </w:t>
      </w:r>
    </w:p>
    <w:p w14:paraId="2915F775" w14:textId="77777777" w:rsidR="00DF2F37" w:rsidRPr="007F300B" w:rsidRDefault="00DF2F37" w:rsidP="00DF2F37">
      <w:pPr>
        <w:pStyle w:val="a-0000"/>
        <w:rPr>
          <w:color w:val="000000" w:themeColor="text1"/>
        </w:rPr>
      </w:pPr>
      <w:r w:rsidRPr="007F300B">
        <w:rPr>
          <w:color w:val="000000" w:themeColor="text1"/>
        </w:rPr>
        <w:tab/>
        <w:t>(f)</w:t>
      </w:r>
      <w:r w:rsidRPr="007F300B">
        <w:rPr>
          <w:color w:val="000000" w:themeColor="text1"/>
        </w:rPr>
        <w:tab/>
        <w:t xml:space="preserve">the appropriate documentation and listing fee as published and available on the JSE website, </w:t>
      </w:r>
      <w:hyperlink r:id="rId6" w:history="1">
        <w:r w:rsidRPr="007F300B">
          <w:rPr>
            <w:rStyle w:val="Hyperlink"/>
            <w:color w:val="000000" w:themeColor="text1"/>
          </w:rPr>
          <w:t>www.jse.co.za</w:t>
        </w:r>
      </w:hyperlink>
      <w:r w:rsidRPr="007F300B">
        <w:rPr>
          <w:color w:val="000000" w:themeColor="text1"/>
        </w:rPr>
        <w:t>, per Section 17.</w:t>
      </w:r>
    </w:p>
    <w:p w14:paraId="6323AC6E" w14:textId="77777777" w:rsidR="00DF2F37" w:rsidRPr="007F300B" w:rsidRDefault="00DF2F37">
      <w:pPr>
        <w:rPr>
          <w:color w:val="000000" w:themeColor="text1"/>
        </w:rPr>
      </w:pPr>
    </w:p>
    <w:sectPr w:rsidR="00DF2F37" w:rsidRPr="007F30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B614" w14:textId="77777777" w:rsidR="002C6FCA" w:rsidRDefault="002C6FCA" w:rsidP="002C6FCA">
      <w:pPr>
        <w:spacing w:after="0" w:line="240" w:lineRule="auto"/>
      </w:pPr>
      <w:r>
        <w:separator/>
      </w:r>
    </w:p>
  </w:endnote>
  <w:endnote w:type="continuationSeparator" w:id="0">
    <w:p w14:paraId="08FBB5BB" w14:textId="77777777" w:rsidR="002C6FCA" w:rsidRDefault="002C6FCA" w:rsidP="002C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EB6C" w14:textId="77777777" w:rsidR="002C6FCA" w:rsidRDefault="002C6FCA" w:rsidP="002C6FCA">
      <w:pPr>
        <w:spacing w:after="0" w:line="240" w:lineRule="auto"/>
      </w:pPr>
      <w:r>
        <w:separator/>
      </w:r>
    </w:p>
  </w:footnote>
  <w:footnote w:type="continuationSeparator" w:id="0">
    <w:p w14:paraId="0836232A" w14:textId="77777777" w:rsidR="002C6FCA" w:rsidRDefault="002C6FCA" w:rsidP="002C6FCA">
      <w:pPr>
        <w:spacing w:after="0" w:line="240" w:lineRule="auto"/>
      </w:pPr>
      <w:r>
        <w:continuationSeparator/>
      </w:r>
    </w:p>
  </w:footnote>
  <w:footnote w:id="1">
    <w:p w14:paraId="0F8930E3" w14:textId="5B3BE4EB" w:rsidR="002C6FCA" w:rsidRPr="009A7012" w:rsidRDefault="002C6FCA" w:rsidP="002C6FCA">
      <w:pPr>
        <w:pStyle w:val="footnotes"/>
        <w:rPr>
          <w:szCs w:val="16"/>
          <w:lang w:val="en-ZA"/>
        </w:rPr>
      </w:pPr>
    </w:p>
  </w:footnote>
  <w:footnote w:id="2">
    <w:p w14:paraId="1D25349B" w14:textId="1890E312" w:rsidR="002C6FCA" w:rsidRPr="009A7012" w:rsidRDefault="002C6FCA" w:rsidP="002C6FCA">
      <w:pPr>
        <w:pStyle w:val="footnotes"/>
        <w:rPr>
          <w:szCs w:val="16"/>
          <w:lang w:val="en-ZA"/>
        </w:rPr>
      </w:pPr>
    </w:p>
  </w:footnote>
  <w:footnote w:id="3">
    <w:p w14:paraId="375FE45E" w14:textId="20F600FE" w:rsidR="002C6FCA" w:rsidRPr="009A7012" w:rsidRDefault="002C6FCA" w:rsidP="002C6FCA">
      <w:pPr>
        <w:pStyle w:val="footnotes"/>
        <w:rPr>
          <w:szCs w:val="16"/>
          <w:lang w:val="en-ZA"/>
        </w:rPr>
      </w:pPr>
    </w:p>
  </w:footnote>
  <w:footnote w:id="4">
    <w:p w14:paraId="74C8BD9E" w14:textId="0CAB4155" w:rsidR="002C6FCA" w:rsidRPr="009A7012" w:rsidRDefault="002C6FCA" w:rsidP="002C6FCA">
      <w:pPr>
        <w:pStyle w:val="footnotes"/>
        <w:rPr>
          <w:szCs w:val="16"/>
          <w:lang w:val="en-ZA"/>
        </w:rPr>
      </w:pPr>
    </w:p>
  </w:footnote>
  <w:footnote w:id="5">
    <w:p w14:paraId="541F3D93" w14:textId="46A03F5A" w:rsidR="002C6FCA" w:rsidRPr="009A7012" w:rsidRDefault="002C6FCA" w:rsidP="002C6FCA">
      <w:pPr>
        <w:pStyle w:val="footnotes"/>
        <w:rPr>
          <w:szCs w:val="16"/>
          <w:lang w:val="en-ZA"/>
        </w:rPr>
      </w:pPr>
    </w:p>
  </w:footnote>
  <w:footnote w:id="6">
    <w:p w14:paraId="4D8A0EE3" w14:textId="65BAB435" w:rsidR="002C6FCA" w:rsidRPr="009A7012" w:rsidRDefault="002C6FCA" w:rsidP="002C6FCA">
      <w:pPr>
        <w:pStyle w:val="footnotes"/>
        <w:rPr>
          <w:szCs w:val="16"/>
          <w:lang w:val="en-ZA"/>
        </w:rPr>
      </w:pPr>
    </w:p>
  </w:footnote>
  <w:footnote w:id="7">
    <w:p w14:paraId="2E3339EE" w14:textId="3BEBF249" w:rsidR="004C4ABD" w:rsidRPr="0076264F" w:rsidRDefault="004C4ABD" w:rsidP="004C4ABD">
      <w:pPr>
        <w:pStyle w:val="footnotes"/>
      </w:pPr>
    </w:p>
  </w:footnote>
  <w:footnote w:id="8">
    <w:p w14:paraId="7E423BB2" w14:textId="39D0D617" w:rsidR="004C4ABD" w:rsidRPr="0076264F" w:rsidRDefault="004C4ABD" w:rsidP="004C4ABD">
      <w:pPr>
        <w:pStyle w:val="footnotes"/>
      </w:pPr>
    </w:p>
  </w:footnote>
  <w:footnote w:id="9">
    <w:p w14:paraId="4DF90C81" w14:textId="5BA3E68F" w:rsidR="004C4ABD" w:rsidRPr="0076264F" w:rsidRDefault="004C4ABD" w:rsidP="004C4ABD">
      <w:pPr>
        <w:pStyle w:val="footnotes"/>
      </w:pPr>
    </w:p>
  </w:footnote>
  <w:footnote w:id="10">
    <w:p w14:paraId="66619FFB" w14:textId="6E9B6CA5" w:rsidR="004C4ABD" w:rsidRPr="0076264F" w:rsidRDefault="004C4ABD" w:rsidP="004C4ABD">
      <w:pPr>
        <w:pStyle w:val="footnotes"/>
      </w:pPr>
    </w:p>
  </w:footnote>
  <w:footnote w:id="11">
    <w:p w14:paraId="4A434855" w14:textId="17E606B1" w:rsidR="004C4ABD" w:rsidRPr="0076264F" w:rsidRDefault="004C4ABD" w:rsidP="004C4ABD">
      <w:pPr>
        <w:pStyle w:val="footnotes"/>
      </w:pPr>
    </w:p>
  </w:footnote>
  <w:footnote w:id="12">
    <w:p w14:paraId="123AD127" w14:textId="23CA031C" w:rsidR="004C4ABD" w:rsidRPr="0076264F" w:rsidRDefault="004C4ABD" w:rsidP="004C4ABD">
      <w:pPr>
        <w:pStyle w:val="footnotes"/>
      </w:pPr>
    </w:p>
  </w:footnote>
  <w:footnote w:id="13">
    <w:p w14:paraId="75768AB3" w14:textId="5DDF5235" w:rsidR="004C4ABD" w:rsidRPr="0076264F" w:rsidRDefault="004C4ABD" w:rsidP="004C4ABD">
      <w:pPr>
        <w:pStyle w:val="footnotes"/>
      </w:pPr>
      <w:r w:rsidRPr="0076264F">
        <w:tab/>
      </w:r>
    </w:p>
  </w:footnote>
  <w:footnote w:id="14">
    <w:p w14:paraId="5FB3E472" w14:textId="02CF182E" w:rsidR="004C4ABD" w:rsidRPr="0076264F" w:rsidRDefault="004C4ABD" w:rsidP="004C4ABD">
      <w:pPr>
        <w:pStyle w:val="footnotes"/>
      </w:pPr>
    </w:p>
  </w:footnote>
  <w:footnote w:id="15">
    <w:p w14:paraId="134FC727" w14:textId="5693E543" w:rsidR="004C4ABD" w:rsidRPr="0076264F" w:rsidRDefault="004C4ABD" w:rsidP="004C4ABD">
      <w:pPr>
        <w:pStyle w:val="footnotes"/>
      </w:pPr>
    </w:p>
  </w:footnote>
  <w:footnote w:id="16">
    <w:p w14:paraId="4AC2FF12" w14:textId="6F457484" w:rsidR="00DF2F37" w:rsidRPr="00315E8A" w:rsidRDefault="00DF2F37" w:rsidP="00DF2F37">
      <w:pPr>
        <w:pStyle w:val="footnotes"/>
        <w:rPr>
          <w:lang w:val="en-ZA"/>
        </w:rPr>
      </w:pPr>
    </w:p>
  </w:footnote>
  <w:footnote w:id="17">
    <w:p w14:paraId="35C03EE4" w14:textId="2A6B3E65" w:rsidR="00DF2F37" w:rsidRPr="00315E8A" w:rsidRDefault="00DF2F37" w:rsidP="00DF2F37">
      <w:pPr>
        <w:pStyle w:val="footnotes"/>
        <w:rPr>
          <w:lang w:val="en-ZA"/>
        </w:rPr>
      </w:pPr>
    </w:p>
  </w:footnote>
  <w:footnote w:id="18">
    <w:p w14:paraId="2B397324" w14:textId="1744C972" w:rsidR="00DF2F37" w:rsidRPr="00315E8A" w:rsidRDefault="00DF2F37" w:rsidP="00DF2F37">
      <w:pPr>
        <w:pStyle w:val="footnotes"/>
        <w:rPr>
          <w:lang w:val="en-Z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37EC7"/>
    <w:rsid w:val="000A575E"/>
    <w:rsid w:val="000C717A"/>
    <w:rsid w:val="001D4636"/>
    <w:rsid w:val="002C6FCA"/>
    <w:rsid w:val="00443AE7"/>
    <w:rsid w:val="004C4ABD"/>
    <w:rsid w:val="007553B0"/>
    <w:rsid w:val="007F300B"/>
    <w:rsid w:val="00867EF9"/>
    <w:rsid w:val="008F3AF9"/>
    <w:rsid w:val="00953E48"/>
    <w:rsid w:val="00A34163"/>
    <w:rsid w:val="00CD0185"/>
    <w:rsid w:val="00DB0FDB"/>
    <w:rsid w:val="00DE2A9B"/>
    <w:rsid w:val="00DF2F37"/>
    <w:rsid w:val="00E3284D"/>
    <w:rsid w:val="00F066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rsid w:val="002C6FCA"/>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2C6FCA"/>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1">
    <w:name w:val="head1"/>
    <w:basedOn w:val="Normal"/>
    <w:rsid w:val="002C6FCA"/>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head2">
    <w:name w:val="head2"/>
    <w:basedOn w:val="Normal"/>
    <w:rsid w:val="002C6FCA"/>
    <w:pPr>
      <w:widowControl w:val="0"/>
      <w:spacing w:before="300" w:after="0" w:line="240" w:lineRule="auto"/>
    </w:pPr>
    <w:rPr>
      <w:rFonts w:ascii="Verdana" w:eastAsia="Times New Roman" w:hAnsi="Verdana" w:cs="Times New Roman"/>
      <w:b/>
      <w:kern w:val="0"/>
      <w:sz w:val="18"/>
      <w:szCs w:val="20"/>
      <w:lang w:val="en-GB"/>
      <w14:ligatures w14:val="none"/>
    </w:rPr>
  </w:style>
  <w:style w:type="character" w:styleId="FootnoteReference">
    <w:name w:val="footnote reference"/>
    <w:semiHidden/>
    <w:rsid w:val="002C6FCA"/>
    <w:rPr>
      <w:vertAlign w:val="superscript"/>
    </w:rPr>
  </w:style>
  <w:style w:type="paragraph" w:customStyle="1" w:styleId="footnotes">
    <w:name w:val="footnotes"/>
    <w:basedOn w:val="Normal"/>
    <w:rsid w:val="002C6FCA"/>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paragraph" w:customStyle="1" w:styleId="a-0000">
    <w:name w:val="(a)-00.00"/>
    <w:basedOn w:val="Normal"/>
    <w:rsid w:val="004C4ABD"/>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i-0000a">
    <w:name w:val="(i)-00.00(a)"/>
    <w:basedOn w:val="Normal"/>
    <w:rsid w:val="004C4ABD"/>
    <w:pPr>
      <w:widowControl w:val="0"/>
      <w:tabs>
        <w:tab w:val="right" w:pos="1701"/>
        <w:tab w:val="left" w:pos="1814"/>
      </w:tabs>
      <w:spacing w:before="180" w:after="0" w:line="240" w:lineRule="auto"/>
      <w:ind w:left="1814" w:hanging="1814"/>
      <w:jc w:val="both"/>
    </w:pPr>
    <w:rPr>
      <w:rFonts w:ascii="Verdana" w:eastAsia="Times New Roman" w:hAnsi="Verdana" w:cs="Times New Roman"/>
      <w:kern w:val="0"/>
      <w:sz w:val="18"/>
      <w:szCs w:val="20"/>
      <w:lang w:val="en-GB"/>
      <w14:ligatures w14:val="none"/>
    </w:rPr>
  </w:style>
  <w:style w:type="paragraph" w:customStyle="1" w:styleId="0000">
    <w:name w:val="00.00"/>
    <w:basedOn w:val="Normal"/>
    <w:rsid w:val="004C4ABD"/>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character" w:styleId="Hyperlink">
    <w:name w:val="Hyperlink"/>
    <w:semiHidden/>
    <w:rsid w:val="00DF2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e.co.za"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92B88E4A-C1AA-4CB9-BDB8-60CC6460445B}"/>
</file>

<file path=customXml/itemProps2.xml><?xml version="1.0" encoding="utf-8"?>
<ds:datastoreItem xmlns:ds="http://schemas.openxmlformats.org/officeDocument/2006/customXml" ds:itemID="{A0B22E88-F642-4C15-BBE4-F3979B4627D6}"/>
</file>

<file path=customXml/itemProps3.xml><?xml version="1.0" encoding="utf-8"?>
<ds:datastoreItem xmlns:ds="http://schemas.openxmlformats.org/officeDocument/2006/customXml" ds:itemID="{D4E05765-E3F9-464E-8D63-53957BC06786}"/>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9</cp:revision>
  <dcterms:created xsi:type="dcterms:W3CDTF">2024-01-24T12:04:00Z</dcterms:created>
  <dcterms:modified xsi:type="dcterms:W3CDTF">2024-03-19T15:37:00Z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2024-03-19T15:37:25Z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df1fc9dc-c942-4ae6-aaf5-5bb3add6a09e</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